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3950"/>
      </w:tblGrid>
      <w:tr w:rsidR="00072901" w:rsidRPr="000F38F8" w14:paraId="19C67BB3" w14:textId="77777777" w:rsidTr="00E4303D">
        <w:tc>
          <w:tcPr>
            <w:tcW w:w="5076" w:type="dxa"/>
          </w:tcPr>
          <w:p w14:paraId="5F2448A9" w14:textId="3D0244A4" w:rsidR="00072901" w:rsidRPr="00A117B1" w:rsidRDefault="00072901" w:rsidP="00E4303D">
            <w:pPr>
              <w:jc w:val="center"/>
              <w:rPr>
                <w:rFonts w:ascii="Copperplate Gothic Bold" w:hAnsi="Copperplate Gothic Bold"/>
              </w:rPr>
            </w:pPr>
          </w:p>
          <w:p w14:paraId="0E04650C" w14:textId="77777777" w:rsidR="00072901" w:rsidRPr="00EC7E02" w:rsidRDefault="00072901" w:rsidP="00E4303D">
            <w:pPr>
              <w:rPr>
                <w:rFonts w:ascii="Copperplate Gothic Bold" w:hAnsi="Copperplate Gothic Bold"/>
              </w:rPr>
            </w:pPr>
            <w:r w:rsidRPr="00EC7E02">
              <w:rPr>
                <w:rFonts w:ascii="Copperplate Gothic Bold" w:hAnsi="Copperplate Gothic Bold"/>
              </w:rPr>
              <w:t xml:space="preserve">North of England Institute of </w:t>
            </w:r>
          </w:p>
          <w:p w14:paraId="59A5352E" w14:textId="77777777" w:rsidR="00072901" w:rsidRPr="00EC7E02" w:rsidRDefault="00072901" w:rsidP="00E4303D">
            <w:pPr>
              <w:rPr>
                <w:rFonts w:ascii="Copperplate Gothic Bold" w:hAnsi="Copperplate Gothic Bold"/>
              </w:rPr>
            </w:pPr>
            <w:r w:rsidRPr="00EC7E02">
              <w:rPr>
                <w:rFonts w:ascii="Copperplate Gothic Bold" w:hAnsi="Copperplate Gothic Bold"/>
              </w:rPr>
              <w:t>Mining and Mechanical Engineers</w:t>
            </w:r>
          </w:p>
          <w:p w14:paraId="31F60BEA" w14:textId="77777777" w:rsidR="00072901" w:rsidRPr="00EC7E02" w:rsidRDefault="00072901" w:rsidP="00E4303D">
            <w:pPr>
              <w:rPr>
                <w:rFonts w:ascii="Copperplate Gothic Bold" w:hAnsi="Copperplate Gothic Bold"/>
              </w:rPr>
            </w:pPr>
          </w:p>
          <w:p w14:paraId="4733E08E" w14:textId="77777777" w:rsidR="00072901" w:rsidRPr="00E6767F" w:rsidRDefault="00072901" w:rsidP="00E4303D">
            <w:pPr>
              <w:rPr>
                <w:rFonts w:ascii="Copperplate Gothic Bold" w:hAnsi="Copperplate Gothic Bold"/>
                <w:sz w:val="20"/>
              </w:rPr>
            </w:pPr>
            <w:r w:rsidRPr="00E6767F">
              <w:rPr>
                <w:rFonts w:ascii="Copperplate Gothic Bold" w:hAnsi="Copperplate Gothic Bold"/>
                <w:sz w:val="20"/>
              </w:rPr>
              <w:t>Founded 1852</w:t>
            </w:r>
          </w:p>
          <w:p w14:paraId="2C3A8B8B" w14:textId="77777777" w:rsidR="00072901" w:rsidRPr="000F38F8" w:rsidRDefault="00072901" w:rsidP="00E4303D">
            <w:pPr>
              <w:rPr>
                <w:rFonts w:ascii="Copperplate Gothic Bold" w:hAnsi="Copperplate Gothic Bold"/>
              </w:rPr>
            </w:pPr>
            <w:r w:rsidRPr="00E6767F">
              <w:rPr>
                <w:rFonts w:ascii="Copperplate Gothic Bold" w:hAnsi="Copperplate Gothic Bold"/>
                <w:sz w:val="20"/>
              </w:rPr>
              <w:t>Royal Charter 1876</w:t>
            </w:r>
          </w:p>
        </w:tc>
        <w:tc>
          <w:tcPr>
            <w:tcW w:w="3950" w:type="dxa"/>
          </w:tcPr>
          <w:p w14:paraId="5D0812CF" w14:textId="77777777" w:rsidR="00072901" w:rsidRPr="000F38F8" w:rsidRDefault="00072901" w:rsidP="00C26D99">
            <w:pPr>
              <w:jc w:val="center"/>
              <w:rPr>
                <w:rFonts w:ascii="Copperplate Gothic Bold" w:hAnsi="Copperplate Gothic Bold"/>
              </w:rPr>
            </w:pPr>
            <w:r>
              <w:rPr>
                <w:noProof/>
                <w:lang w:eastAsia="zh-CN"/>
              </w:rPr>
              <w:drawing>
                <wp:inline distT="0" distB="0" distL="0" distR="0" wp14:anchorId="2EA357B5" wp14:editId="4B6891D2">
                  <wp:extent cx="2043350" cy="10336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6909"/>
                          <a:stretch/>
                        </pic:blipFill>
                        <pic:spPr bwMode="auto">
                          <a:xfrm>
                            <a:off x="0" y="0"/>
                            <a:ext cx="2052780" cy="103845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E84361A" w14:textId="77777777" w:rsidR="00072901" w:rsidRDefault="00072901" w:rsidP="00072901">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72901" w14:paraId="19951B70" w14:textId="77777777" w:rsidTr="00E4303D">
        <w:tc>
          <w:tcPr>
            <w:tcW w:w="9016" w:type="dxa"/>
            <w:gridSpan w:val="2"/>
          </w:tcPr>
          <w:p w14:paraId="611C6680" w14:textId="61C9C62D" w:rsidR="00667CB3" w:rsidRPr="00072901" w:rsidRDefault="00072901" w:rsidP="009A1AFE">
            <w:pPr>
              <w:spacing w:before="120" w:after="120"/>
              <w:jc w:val="center"/>
              <w:rPr>
                <w:b/>
                <w:sz w:val="24"/>
                <w:szCs w:val="24"/>
              </w:rPr>
            </w:pPr>
            <w:r w:rsidRPr="009A1AFE">
              <w:rPr>
                <w:b/>
                <w:sz w:val="24"/>
              </w:rPr>
              <w:t>P</w:t>
            </w:r>
            <w:r w:rsidR="00B613C4" w:rsidRPr="009A1AFE">
              <w:rPr>
                <w:b/>
                <w:sz w:val="24"/>
              </w:rPr>
              <w:t xml:space="preserve">rocess </w:t>
            </w:r>
            <w:r w:rsidRPr="009A1AFE">
              <w:rPr>
                <w:b/>
                <w:sz w:val="24"/>
                <w:szCs w:val="24"/>
              </w:rPr>
              <w:t>for</w:t>
            </w:r>
            <w:r w:rsidR="00B613C4" w:rsidRPr="009A1AFE">
              <w:rPr>
                <w:b/>
                <w:sz w:val="24"/>
                <w:szCs w:val="24"/>
              </w:rPr>
              <w:t xml:space="preserve"> Becoming a</w:t>
            </w:r>
            <w:r w:rsidRPr="009A1AFE">
              <w:rPr>
                <w:b/>
                <w:sz w:val="24"/>
                <w:szCs w:val="24"/>
              </w:rPr>
              <w:t xml:space="preserve"> </w:t>
            </w:r>
            <w:r w:rsidR="00A62A3A" w:rsidRPr="009A1AFE">
              <w:rPr>
                <w:b/>
                <w:sz w:val="24"/>
                <w:szCs w:val="24"/>
              </w:rPr>
              <w:t xml:space="preserve">Corresponding </w:t>
            </w:r>
            <w:r w:rsidRPr="009A1AFE">
              <w:rPr>
                <w:b/>
                <w:sz w:val="24"/>
                <w:szCs w:val="24"/>
              </w:rPr>
              <w:t>Societ</w:t>
            </w:r>
            <w:r w:rsidR="00B613C4" w:rsidRPr="009A1AFE">
              <w:rPr>
                <w:b/>
                <w:sz w:val="24"/>
                <w:szCs w:val="24"/>
              </w:rPr>
              <w:t xml:space="preserve">y of </w:t>
            </w:r>
            <w:proofErr w:type="spellStart"/>
            <w:r w:rsidR="00B613C4" w:rsidRPr="009A1AFE">
              <w:rPr>
                <w:b/>
                <w:sz w:val="24"/>
                <w:szCs w:val="24"/>
              </w:rPr>
              <w:t>NEIMME</w:t>
            </w:r>
            <w:proofErr w:type="spellEnd"/>
          </w:p>
        </w:tc>
      </w:tr>
      <w:tr w:rsidR="00072901" w14:paraId="2D84F117" w14:textId="77777777" w:rsidTr="00E4303D">
        <w:tc>
          <w:tcPr>
            <w:tcW w:w="4508" w:type="dxa"/>
          </w:tcPr>
          <w:p w14:paraId="084A507D" w14:textId="0C903212" w:rsidR="00072901" w:rsidRPr="008136E4" w:rsidRDefault="00072901" w:rsidP="00E4303D">
            <w:pPr>
              <w:spacing w:before="120" w:after="120"/>
              <w:jc w:val="center"/>
              <w:rPr>
                <w:b/>
                <w:sz w:val="24"/>
              </w:rPr>
            </w:pPr>
            <w:r w:rsidRPr="008136E4">
              <w:rPr>
                <w:b/>
                <w:sz w:val="24"/>
              </w:rPr>
              <w:t xml:space="preserve">Approved by: </w:t>
            </w:r>
            <w:r w:rsidR="009A1AFE">
              <w:rPr>
                <w:b/>
                <w:sz w:val="24"/>
              </w:rPr>
              <w:t>COUNCIL</w:t>
            </w:r>
          </w:p>
        </w:tc>
        <w:tc>
          <w:tcPr>
            <w:tcW w:w="4508" w:type="dxa"/>
          </w:tcPr>
          <w:p w14:paraId="25FE72C0" w14:textId="4541F700" w:rsidR="00072901" w:rsidRPr="008136E4" w:rsidRDefault="00072901" w:rsidP="00E4303D">
            <w:pPr>
              <w:spacing w:before="120" w:after="120"/>
              <w:jc w:val="center"/>
              <w:rPr>
                <w:b/>
                <w:sz w:val="24"/>
              </w:rPr>
            </w:pPr>
            <w:r w:rsidRPr="008136E4">
              <w:rPr>
                <w:b/>
                <w:sz w:val="24"/>
              </w:rPr>
              <w:t xml:space="preserve">Date: </w:t>
            </w:r>
            <w:r w:rsidR="00DC3FB4">
              <w:rPr>
                <w:b/>
                <w:sz w:val="24"/>
              </w:rPr>
              <w:t>May 2021</w:t>
            </w:r>
          </w:p>
        </w:tc>
      </w:tr>
    </w:tbl>
    <w:p w14:paraId="6021C1D1" w14:textId="77777777" w:rsidR="00072901" w:rsidRDefault="00072901" w:rsidP="006C60A4">
      <w:pPr>
        <w:spacing w:after="0"/>
      </w:pPr>
    </w:p>
    <w:p w14:paraId="0A154D30" w14:textId="3C81A78C" w:rsidR="00072901" w:rsidRPr="0095504B" w:rsidRDefault="00072901" w:rsidP="00072901">
      <w:pPr>
        <w:pStyle w:val="ListParagraph"/>
        <w:numPr>
          <w:ilvl w:val="0"/>
          <w:numId w:val="1"/>
        </w:numPr>
        <w:ind w:left="426"/>
        <w:rPr>
          <w:b/>
          <w:sz w:val="24"/>
        </w:rPr>
      </w:pPr>
      <w:r w:rsidRPr="0095504B">
        <w:rPr>
          <w:b/>
          <w:sz w:val="24"/>
        </w:rPr>
        <w:t>Objective</w:t>
      </w:r>
    </w:p>
    <w:p w14:paraId="6E3EF13E" w14:textId="187AD045" w:rsidR="00072901" w:rsidRPr="0095504B" w:rsidRDefault="00072901" w:rsidP="00072901">
      <w:r w:rsidRPr="0095504B">
        <w:t xml:space="preserve">To establish a procedure for an organisation external to the Institute to </w:t>
      </w:r>
      <w:r w:rsidR="00270615">
        <w:t>correspond</w:t>
      </w:r>
      <w:r w:rsidRPr="0095504B">
        <w:t xml:space="preserve"> with it </w:t>
      </w:r>
      <w:proofErr w:type="gramStart"/>
      <w:r w:rsidRPr="0095504B">
        <w:t>in order to</w:t>
      </w:r>
      <w:proofErr w:type="gramEnd"/>
      <w:r w:rsidRPr="0095504B">
        <w:t xml:space="preserve"> further the Institute’s Aims and Objectives.</w:t>
      </w:r>
      <w:r w:rsidR="0095504B">
        <w:t xml:space="preserve"> This process is </w:t>
      </w:r>
      <w:r w:rsidR="00120E65">
        <w:t>separate</w:t>
      </w:r>
      <w:r w:rsidR="0095504B">
        <w:t xml:space="preserve"> from</w:t>
      </w:r>
      <w:r w:rsidR="00120E65">
        <w:t xml:space="preserve"> applying to </w:t>
      </w:r>
      <w:r w:rsidR="0095504B">
        <w:t>be a member of an organisation.</w:t>
      </w:r>
    </w:p>
    <w:p w14:paraId="7FB9CA4F" w14:textId="694E6DD9" w:rsidR="00072901" w:rsidRPr="0095504B" w:rsidRDefault="00667CB3" w:rsidP="00072901">
      <w:pPr>
        <w:pStyle w:val="ListParagraph"/>
        <w:numPr>
          <w:ilvl w:val="0"/>
          <w:numId w:val="1"/>
        </w:numPr>
        <w:ind w:left="426"/>
        <w:rPr>
          <w:b/>
          <w:sz w:val="24"/>
        </w:rPr>
      </w:pPr>
      <w:r w:rsidRPr="0095504B">
        <w:rPr>
          <w:b/>
          <w:sz w:val="24"/>
        </w:rPr>
        <w:t>Aims</w:t>
      </w:r>
    </w:p>
    <w:p w14:paraId="1D03CC41" w14:textId="7472E0D1" w:rsidR="0095504B" w:rsidRPr="0095504B" w:rsidRDefault="0095504B" w:rsidP="00072901">
      <w:r w:rsidRPr="0095504B">
        <w:t xml:space="preserve">So that the </w:t>
      </w:r>
      <w:r w:rsidR="00072901" w:rsidRPr="0095504B">
        <w:t xml:space="preserve">Institute can benefit from </w:t>
      </w:r>
      <w:r w:rsidR="00270615">
        <w:t xml:space="preserve">corresponding </w:t>
      </w:r>
      <w:r w:rsidR="00072901" w:rsidRPr="0095504B">
        <w:t xml:space="preserve">with other organisations </w:t>
      </w:r>
      <w:proofErr w:type="gramStart"/>
      <w:r w:rsidR="00072901" w:rsidRPr="0095504B">
        <w:t>in order to</w:t>
      </w:r>
      <w:proofErr w:type="gramEnd"/>
      <w:r w:rsidR="00072901" w:rsidRPr="0095504B">
        <w:t xml:space="preserve"> raise its profile, attract new members and to further its Aims and Objectives though joint initiatives. </w:t>
      </w:r>
    </w:p>
    <w:p w14:paraId="75924722" w14:textId="67F6CB6B" w:rsidR="0095504B" w:rsidRPr="0095504B" w:rsidRDefault="0095504B" w:rsidP="00072901">
      <w:pPr>
        <w:pStyle w:val="ListParagraph"/>
        <w:numPr>
          <w:ilvl w:val="0"/>
          <w:numId w:val="1"/>
        </w:numPr>
        <w:ind w:left="426"/>
        <w:rPr>
          <w:b/>
          <w:sz w:val="24"/>
        </w:rPr>
      </w:pPr>
      <w:r w:rsidRPr="0095504B">
        <w:rPr>
          <w:b/>
          <w:sz w:val="24"/>
        </w:rPr>
        <w:t xml:space="preserve">Basic agreement between </w:t>
      </w:r>
      <w:proofErr w:type="spellStart"/>
      <w:r w:rsidRPr="0095504B">
        <w:rPr>
          <w:b/>
          <w:sz w:val="24"/>
        </w:rPr>
        <w:t>NEIMME</w:t>
      </w:r>
      <w:proofErr w:type="spellEnd"/>
      <w:r w:rsidRPr="0095504B">
        <w:rPr>
          <w:b/>
          <w:sz w:val="24"/>
        </w:rPr>
        <w:t xml:space="preserve"> and a partner organisation</w:t>
      </w:r>
    </w:p>
    <w:p w14:paraId="3D4C8DCF" w14:textId="5B5D2112" w:rsidR="00072901" w:rsidRPr="0095504B" w:rsidRDefault="00072901" w:rsidP="00072901">
      <w:r w:rsidRPr="0095504B">
        <w:t>A</w:t>
      </w:r>
      <w:r w:rsidR="00270615">
        <w:t xml:space="preserve"> corresponding </w:t>
      </w:r>
      <w:r w:rsidRPr="0095504B">
        <w:t xml:space="preserve">relationship between the Institute and another Organisation </w:t>
      </w:r>
      <w:r w:rsidR="00270615">
        <w:t>encourages</w:t>
      </w:r>
      <w:r w:rsidRPr="0095504B">
        <w:t xml:space="preserve"> both parties to:</w:t>
      </w:r>
    </w:p>
    <w:p w14:paraId="05A4872E" w14:textId="5ACBA27F" w:rsidR="009B0323" w:rsidRPr="0095504B" w:rsidRDefault="009B0323" w:rsidP="009B0323">
      <w:pPr>
        <w:pStyle w:val="ListParagraph"/>
        <w:numPr>
          <w:ilvl w:val="0"/>
          <w:numId w:val="2"/>
        </w:numPr>
      </w:pPr>
      <w:r>
        <w:t xml:space="preserve">Maintain correspondence between each </w:t>
      </w:r>
      <w:r w:rsidR="00270615">
        <w:t>organisation</w:t>
      </w:r>
      <w:r>
        <w:t>.</w:t>
      </w:r>
    </w:p>
    <w:p w14:paraId="3D9D3F45" w14:textId="4C42107C" w:rsidR="00667CB3" w:rsidRDefault="00667CB3" w:rsidP="00667CB3">
      <w:pPr>
        <w:pStyle w:val="ListParagraph"/>
        <w:numPr>
          <w:ilvl w:val="0"/>
          <w:numId w:val="2"/>
        </w:numPr>
      </w:pPr>
      <w:r w:rsidRPr="0095504B">
        <w:t>Promote each other’s activities and events.</w:t>
      </w:r>
    </w:p>
    <w:p w14:paraId="3CE91664" w14:textId="55C11C1C" w:rsidR="00072901" w:rsidRPr="0095504B" w:rsidRDefault="00667CB3" w:rsidP="00072901">
      <w:pPr>
        <w:pStyle w:val="ListParagraph"/>
        <w:numPr>
          <w:ilvl w:val="0"/>
          <w:numId w:val="2"/>
        </w:numPr>
      </w:pPr>
      <w:r w:rsidRPr="0095504B">
        <w:t>Aim to o</w:t>
      </w:r>
      <w:r w:rsidR="00072901" w:rsidRPr="0095504B">
        <w:t>rganise joint lecture</w:t>
      </w:r>
      <w:r w:rsidR="009B0323">
        <w:t xml:space="preserve">s and </w:t>
      </w:r>
      <w:r w:rsidR="00072901" w:rsidRPr="0095504B">
        <w:t>event</w:t>
      </w:r>
      <w:r w:rsidR="009B0323">
        <w:t>s</w:t>
      </w:r>
      <w:r w:rsidR="00072901" w:rsidRPr="0095504B">
        <w:t xml:space="preserve"> where cost will be split equally between the Institute and the </w:t>
      </w:r>
      <w:r w:rsidR="008D61F6">
        <w:t>Corresponding</w:t>
      </w:r>
      <w:r w:rsidR="00072901" w:rsidRPr="0095504B">
        <w:t xml:space="preserve"> </w:t>
      </w:r>
      <w:r w:rsidR="008D61F6">
        <w:t>Society</w:t>
      </w:r>
      <w:r w:rsidR="00072901" w:rsidRPr="0095504B">
        <w:t>.</w:t>
      </w:r>
    </w:p>
    <w:p w14:paraId="6700B521" w14:textId="77777777" w:rsidR="00E4303D" w:rsidRPr="0095504B" w:rsidRDefault="00E4303D" w:rsidP="00E4303D">
      <w:pPr>
        <w:pStyle w:val="ListParagraph"/>
      </w:pPr>
    </w:p>
    <w:p w14:paraId="21319F56" w14:textId="77777777" w:rsidR="00072901" w:rsidRPr="0095504B" w:rsidRDefault="00072901" w:rsidP="00072901">
      <w:pPr>
        <w:pStyle w:val="ListParagraph"/>
        <w:numPr>
          <w:ilvl w:val="0"/>
          <w:numId w:val="1"/>
        </w:numPr>
        <w:ind w:left="426"/>
        <w:rPr>
          <w:b/>
        </w:rPr>
      </w:pPr>
      <w:r w:rsidRPr="0095504B">
        <w:rPr>
          <w:b/>
          <w:sz w:val="24"/>
        </w:rPr>
        <w:t>Process</w:t>
      </w:r>
    </w:p>
    <w:p w14:paraId="0F74AFE4" w14:textId="2E04C2C4" w:rsidR="0095504B" w:rsidRPr="008D61F6" w:rsidRDefault="0095504B" w:rsidP="00072901">
      <w:pPr>
        <w:spacing w:after="0"/>
      </w:pPr>
      <w:r w:rsidRPr="008D61F6">
        <w:t xml:space="preserve">Any potential </w:t>
      </w:r>
      <w:r w:rsidR="00270615" w:rsidRPr="008D61F6">
        <w:t xml:space="preserve">Corresponding </w:t>
      </w:r>
      <w:r w:rsidRPr="008D61F6">
        <w:t xml:space="preserve">Society should </w:t>
      </w:r>
      <w:r w:rsidR="0091024C" w:rsidRPr="008D61F6">
        <w:t>share similar Objects to that of the Institute.</w:t>
      </w:r>
    </w:p>
    <w:p w14:paraId="687473E6" w14:textId="568F31F1" w:rsidR="0091024C" w:rsidRPr="008D61F6" w:rsidRDefault="0091024C" w:rsidP="00072901">
      <w:pPr>
        <w:spacing w:after="0"/>
      </w:pPr>
    </w:p>
    <w:p w14:paraId="400C0B44" w14:textId="77777777" w:rsidR="008D61F6" w:rsidRPr="008D61F6" w:rsidRDefault="0091024C" w:rsidP="00072901">
      <w:pPr>
        <w:spacing w:after="0"/>
      </w:pPr>
      <w:r w:rsidRPr="008D61F6">
        <w:t>An application to be a</w:t>
      </w:r>
      <w:r w:rsidR="00270615" w:rsidRPr="008D61F6">
        <w:t xml:space="preserve"> Corresponding </w:t>
      </w:r>
      <w:r w:rsidRPr="008D61F6">
        <w:t xml:space="preserve">Society of the Institute </w:t>
      </w:r>
      <w:r w:rsidR="00120E65" w:rsidRPr="008D61F6">
        <w:t>should be</w:t>
      </w:r>
      <w:r w:rsidRPr="008D61F6">
        <w:t xml:space="preserve"> made via the Hon. Secretary. The Aims and Objects of an applicant organisation will be checked, along with its governing document, to check that the applicant organisation </w:t>
      </w:r>
      <w:r w:rsidR="008D61F6" w:rsidRPr="008D61F6">
        <w:t>would be of mutual benefit to the Institute.</w:t>
      </w:r>
    </w:p>
    <w:p w14:paraId="6BA6FED0" w14:textId="008A615C" w:rsidR="0091024C" w:rsidRPr="008D61F6" w:rsidRDefault="0091024C" w:rsidP="00072901">
      <w:pPr>
        <w:spacing w:after="0"/>
      </w:pPr>
    </w:p>
    <w:p w14:paraId="15212894" w14:textId="31F141F4" w:rsidR="0095504B" w:rsidRDefault="0091024C" w:rsidP="00072901">
      <w:pPr>
        <w:spacing w:after="0"/>
      </w:pPr>
      <w:r>
        <w:t>The application must then be put to a vote at Council for approval.</w:t>
      </w:r>
    </w:p>
    <w:p w14:paraId="0F7C0B14" w14:textId="24C1C526" w:rsidR="0091024C" w:rsidRDefault="0091024C" w:rsidP="00072901">
      <w:pPr>
        <w:spacing w:after="0"/>
      </w:pPr>
    </w:p>
    <w:p w14:paraId="38B51633" w14:textId="5E74A76F" w:rsidR="0091024C" w:rsidRDefault="0091024C" w:rsidP="00072901">
      <w:pPr>
        <w:spacing w:after="0"/>
      </w:pPr>
      <w:r>
        <w:t xml:space="preserve">If the application is </w:t>
      </w:r>
      <w:r w:rsidR="00120E65">
        <w:t>rejected</w:t>
      </w:r>
      <w:r>
        <w:t xml:space="preserve"> by </w:t>
      </w:r>
      <w:proofErr w:type="gramStart"/>
      <w:r>
        <w:t>Council</w:t>
      </w:r>
      <w:proofErr w:type="gramEnd"/>
      <w:r>
        <w:t xml:space="preserve"> then the applicant organisation will be informed of the reason(s) why. If the application is accepted the respective Presidents of </w:t>
      </w:r>
      <w:proofErr w:type="spellStart"/>
      <w:r>
        <w:t>NEIMME</w:t>
      </w:r>
      <w:proofErr w:type="spellEnd"/>
      <w:r>
        <w:t xml:space="preserve"> and the applicant organisation will sign an MoU based upon the template in Appendix A.</w:t>
      </w:r>
    </w:p>
    <w:p w14:paraId="60B611B6" w14:textId="77777777" w:rsidR="00123E76" w:rsidRDefault="00123E76"/>
    <w:p w14:paraId="2E90C5CF" w14:textId="54BC8E90" w:rsidR="0095504B" w:rsidRDefault="0095504B">
      <w:r>
        <w:br w:type="page"/>
      </w:r>
    </w:p>
    <w:p w14:paraId="4D952264" w14:textId="5D0BC1F7" w:rsidR="0095504B" w:rsidRPr="00D416FB" w:rsidRDefault="0091024C" w:rsidP="0091024C">
      <w:pPr>
        <w:spacing w:after="0"/>
        <w:jc w:val="right"/>
        <w:rPr>
          <w:b/>
          <w:bCs/>
          <w:color w:val="FF0000"/>
          <w:sz w:val="24"/>
          <w:szCs w:val="24"/>
        </w:rPr>
      </w:pPr>
      <w:r w:rsidRPr="00D416FB">
        <w:rPr>
          <w:b/>
          <w:bCs/>
          <w:color w:val="FF0000"/>
          <w:sz w:val="24"/>
          <w:szCs w:val="24"/>
        </w:rPr>
        <w:lastRenderedPageBreak/>
        <w:t>Appendix A – Mo</w:t>
      </w:r>
      <w:r w:rsidR="002B69C1">
        <w:rPr>
          <w:b/>
          <w:bCs/>
          <w:color w:val="FF0000"/>
          <w:sz w:val="24"/>
          <w:szCs w:val="24"/>
        </w:rPr>
        <w:t>U</w:t>
      </w:r>
      <w:r w:rsidRPr="00D416FB">
        <w:rPr>
          <w:b/>
          <w:bCs/>
          <w:color w:val="FF0000"/>
          <w:sz w:val="24"/>
          <w:szCs w:val="24"/>
        </w:rPr>
        <w:t xml:space="preserve"> Template for </w:t>
      </w:r>
      <w:r w:rsidR="008D61F6">
        <w:rPr>
          <w:b/>
          <w:bCs/>
          <w:color w:val="FF0000"/>
          <w:sz w:val="24"/>
          <w:szCs w:val="24"/>
        </w:rPr>
        <w:t xml:space="preserve">Corresponding </w:t>
      </w:r>
      <w:r w:rsidRPr="00D416FB">
        <w:rPr>
          <w:b/>
          <w:bCs/>
          <w:color w:val="FF0000"/>
          <w:sz w:val="24"/>
          <w:szCs w:val="24"/>
        </w:rPr>
        <w:t>Societies</w:t>
      </w:r>
    </w:p>
    <w:p w14:paraId="6F7F47A6" w14:textId="00ECA5D1" w:rsidR="0091024C" w:rsidRDefault="0091024C" w:rsidP="00072901">
      <w:pPr>
        <w:spacing w:after="0"/>
      </w:pPr>
    </w:p>
    <w:p w14:paraId="11A1F5CE" w14:textId="77777777" w:rsidR="0091024C" w:rsidRDefault="0091024C" w:rsidP="00072901">
      <w:pPr>
        <w:spacing w:after="0"/>
      </w:pPr>
    </w:p>
    <w:p w14:paraId="43DF7C07" w14:textId="03A39520" w:rsidR="0095504B" w:rsidRPr="0091024C" w:rsidRDefault="0095504B" w:rsidP="0091024C">
      <w:pPr>
        <w:spacing w:after="0"/>
        <w:jc w:val="center"/>
        <w:rPr>
          <w:sz w:val="28"/>
          <w:szCs w:val="28"/>
        </w:rPr>
      </w:pPr>
      <w:r w:rsidRPr="0091024C">
        <w:rPr>
          <w:sz w:val="28"/>
          <w:szCs w:val="28"/>
        </w:rPr>
        <w:t>Memorandum of Understanding (</w:t>
      </w:r>
      <w:proofErr w:type="spellStart"/>
      <w:r w:rsidRPr="0091024C">
        <w:rPr>
          <w:sz w:val="28"/>
          <w:szCs w:val="28"/>
        </w:rPr>
        <w:t>Mo</w:t>
      </w:r>
      <w:r w:rsidR="0091024C" w:rsidRPr="0091024C">
        <w:rPr>
          <w:sz w:val="28"/>
          <w:szCs w:val="28"/>
        </w:rPr>
        <w:t>U</w:t>
      </w:r>
      <w:r w:rsidRPr="0091024C">
        <w:rPr>
          <w:sz w:val="28"/>
          <w:szCs w:val="28"/>
        </w:rPr>
        <w:t>l</w:t>
      </w:r>
      <w:proofErr w:type="spellEnd"/>
      <w:r w:rsidRPr="0091024C">
        <w:rPr>
          <w:sz w:val="28"/>
          <w:szCs w:val="28"/>
        </w:rPr>
        <w:t>) between</w:t>
      </w:r>
    </w:p>
    <w:p w14:paraId="6FA5E903" w14:textId="77777777" w:rsidR="0095504B" w:rsidRPr="0091024C" w:rsidRDefault="0095504B" w:rsidP="0091024C">
      <w:pPr>
        <w:spacing w:after="0"/>
        <w:jc w:val="center"/>
        <w:rPr>
          <w:sz w:val="28"/>
          <w:szCs w:val="28"/>
        </w:rPr>
      </w:pPr>
    </w:p>
    <w:p w14:paraId="4AE91B70" w14:textId="12DEBDBD" w:rsidR="0095504B" w:rsidRPr="0091024C" w:rsidRDefault="0091024C" w:rsidP="0091024C">
      <w:pPr>
        <w:spacing w:after="0"/>
        <w:jc w:val="center"/>
        <w:rPr>
          <w:sz w:val="28"/>
          <w:szCs w:val="28"/>
        </w:rPr>
      </w:pPr>
      <w:r w:rsidRPr="0091024C">
        <w:rPr>
          <w:sz w:val="28"/>
          <w:szCs w:val="28"/>
        </w:rPr>
        <w:t xml:space="preserve">The </w:t>
      </w:r>
      <w:r w:rsidR="0095504B" w:rsidRPr="0091024C">
        <w:rPr>
          <w:sz w:val="28"/>
          <w:szCs w:val="28"/>
        </w:rPr>
        <w:t>North of England Institute for Mining and Mechanical Engineers (</w:t>
      </w:r>
      <w:proofErr w:type="spellStart"/>
      <w:r w:rsidR="0095504B" w:rsidRPr="0091024C">
        <w:rPr>
          <w:sz w:val="28"/>
          <w:szCs w:val="28"/>
        </w:rPr>
        <w:t>NEIMME</w:t>
      </w:r>
      <w:proofErr w:type="spellEnd"/>
      <w:r w:rsidR="0095504B" w:rsidRPr="0091024C">
        <w:rPr>
          <w:sz w:val="28"/>
          <w:szCs w:val="28"/>
        </w:rPr>
        <w:t>)</w:t>
      </w:r>
    </w:p>
    <w:p w14:paraId="6BCE818F" w14:textId="77777777" w:rsidR="0095504B" w:rsidRPr="0091024C" w:rsidRDefault="0095504B" w:rsidP="0091024C">
      <w:pPr>
        <w:spacing w:after="0"/>
        <w:jc w:val="center"/>
        <w:rPr>
          <w:sz w:val="28"/>
          <w:szCs w:val="28"/>
        </w:rPr>
      </w:pPr>
    </w:p>
    <w:p w14:paraId="6C4D3E09" w14:textId="77777777" w:rsidR="0095504B" w:rsidRPr="0091024C" w:rsidRDefault="0095504B" w:rsidP="0091024C">
      <w:pPr>
        <w:spacing w:after="0"/>
        <w:jc w:val="center"/>
        <w:rPr>
          <w:sz w:val="28"/>
          <w:szCs w:val="28"/>
        </w:rPr>
      </w:pPr>
      <w:r w:rsidRPr="0091024C">
        <w:rPr>
          <w:sz w:val="28"/>
          <w:szCs w:val="28"/>
        </w:rPr>
        <w:t>and</w:t>
      </w:r>
    </w:p>
    <w:p w14:paraId="6A51DF78" w14:textId="77777777" w:rsidR="0095504B" w:rsidRPr="0091024C" w:rsidRDefault="0095504B" w:rsidP="0091024C">
      <w:pPr>
        <w:spacing w:after="0"/>
        <w:jc w:val="center"/>
        <w:rPr>
          <w:sz w:val="28"/>
          <w:szCs w:val="28"/>
        </w:rPr>
      </w:pPr>
    </w:p>
    <w:p w14:paraId="61F6F6B4" w14:textId="5671029F" w:rsidR="0095504B" w:rsidRPr="0091024C" w:rsidRDefault="0091024C" w:rsidP="0091024C">
      <w:pPr>
        <w:spacing w:after="0"/>
        <w:jc w:val="center"/>
        <w:rPr>
          <w:sz w:val="28"/>
          <w:szCs w:val="28"/>
        </w:rPr>
      </w:pPr>
      <w:r w:rsidRPr="0091024C">
        <w:rPr>
          <w:sz w:val="28"/>
          <w:szCs w:val="28"/>
        </w:rPr>
        <w:t>[</w:t>
      </w:r>
      <w:r w:rsidRPr="00A117B1">
        <w:rPr>
          <w:color w:val="FF0000"/>
          <w:sz w:val="28"/>
          <w:szCs w:val="28"/>
        </w:rPr>
        <w:t>Organisation</w:t>
      </w:r>
      <w:r w:rsidRPr="0091024C">
        <w:rPr>
          <w:sz w:val="28"/>
          <w:szCs w:val="28"/>
        </w:rPr>
        <w:t>]</w:t>
      </w:r>
    </w:p>
    <w:p w14:paraId="5A6337BF" w14:textId="28504D60" w:rsidR="0095504B" w:rsidRDefault="0095504B" w:rsidP="0091024C">
      <w:pPr>
        <w:spacing w:after="0"/>
        <w:jc w:val="center"/>
      </w:pPr>
    </w:p>
    <w:p w14:paraId="5BE7DA77" w14:textId="77777777" w:rsidR="0091024C" w:rsidRDefault="0091024C" w:rsidP="0091024C">
      <w:pPr>
        <w:spacing w:after="0"/>
        <w:jc w:val="center"/>
      </w:pPr>
    </w:p>
    <w:p w14:paraId="48B9EA9D" w14:textId="5C3ACC62" w:rsidR="0091024C" w:rsidRPr="0091024C" w:rsidRDefault="0091024C" w:rsidP="0091024C">
      <w:pPr>
        <w:spacing w:after="0"/>
        <w:rPr>
          <w:sz w:val="24"/>
          <w:szCs w:val="24"/>
        </w:rPr>
      </w:pPr>
      <w:r w:rsidRPr="0091024C">
        <w:rPr>
          <w:sz w:val="24"/>
          <w:szCs w:val="24"/>
        </w:rPr>
        <w:t>The North of England Institute for Mining and Mechanical Engineers (</w:t>
      </w:r>
      <w:proofErr w:type="spellStart"/>
      <w:r w:rsidRPr="0091024C">
        <w:rPr>
          <w:sz w:val="24"/>
          <w:szCs w:val="24"/>
        </w:rPr>
        <w:t>NEIMME</w:t>
      </w:r>
      <w:proofErr w:type="spellEnd"/>
      <w:r w:rsidRPr="0091024C">
        <w:rPr>
          <w:sz w:val="24"/>
          <w:szCs w:val="24"/>
        </w:rPr>
        <w:t>) is the Royal Chartered membership organisation for science</w:t>
      </w:r>
      <w:r w:rsidR="009A1AFE">
        <w:rPr>
          <w:sz w:val="24"/>
          <w:szCs w:val="24"/>
        </w:rPr>
        <w:t>,</w:t>
      </w:r>
      <w:r w:rsidRPr="0091024C">
        <w:rPr>
          <w:sz w:val="24"/>
          <w:szCs w:val="24"/>
        </w:rPr>
        <w:t xml:space="preserve"> </w:t>
      </w:r>
      <w:proofErr w:type="gramStart"/>
      <w:r w:rsidRPr="0091024C">
        <w:rPr>
          <w:sz w:val="24"/>
          <w:szCs w:val="24"/>
        </w:rPr>
        <w:t>technology</w:t>
      </w:r>
      <w:proofErr w:type="gramEnd"/>
      <w:r w:rsidRPr="0091024C">
        <w:rPr>
          <w:sz w:val="24"/>
          <w:szCs w:val="24"/>
        </w:rPr>
        <w:t xml:space="preserve"> </w:t>
      </w:r>
      <w:r w:rsidR="009A1AFE">
        <w:rPr>
          <w:sz w:val="24"/>
          <w:szCs w:val="24"/>
        </w:rPr>
        <w:t xml:space="preserve">and engineering </w:t>
      </w:r>
      <w:r w:rsidRPr="0091024C">
        <w:rPr>
          <w:sz w:val="24"/>
          <w:szCs w:val="24"/>
        </w:rPr>
        <w:t>in the North; and exists to promote the advancement, and the facilitation of education and research in the public interest, of all aspects of science, and the art and practice of mining and engineering generally, and the prevention of accidents in mines.</w:t>
      </w:r>
    </w:p>
    <w:p w14:paraId="5663A6B2" w14:textId="77777777" w:rsidR="0091024C" w:rsidRPr="0091024C" w:rsidRDefault="0091024C" w:rsidP="0095504B">
      <w:pPr>
        <w:spacing w:after="0"/>
        <w:rPr>
          <w:sz w:val="24"/>
          <w:szCs w:val="24"/>
        </w:rPr>
      </w:pPr>
    </w:p>
    <w:p w14:paraId="0DB4D061" w14:textId="0F88942C" w:rsidR="0091024C" w:rsidRPr="0091024C" w:rsidRDefault="0091024C" w:rsidP="0091024C">
      <w:pPr>
        <w:spacing w:after="0"/>
        <w:jc w:val="center"/>
        <w:rPr>
          <w:sz w:val="24"/>
          <w:szCs w:val="24"/>
        </w:rPr>
      </w:pPr>
      <w:r w:rsidRPr="0091024C">
        <w:rPr>
          <w:sz w:val="24"/>
          <w:szCs w:val="24"/>
        </w:rPr>
        <w:t>[</w:t>
      </w:r>
      <w:r w:rsidRPr="00A117B1">
        <w:rPr>
          <w:color w:val="FF0000"/>
          <w:sz w:val="24"/>
          <w:szCs w:val="24"/>
        </w:rPr>
        <w:t>Organisation Aims and Objectives</w:t>
      </w:r>
      <w:r w:rsidRPr="0091024C">
        <w:rPr>
          <w:sz w:val="24"/>
          <w:szCs w:val="24"/>
        </w:rPr>
        <w:t>]</w:t>
      </w:r>
    </w:p>
    <w:p w14:paraId="3C574727" w14:textId="77777777" w:rsidR="0091024C" w:rsidRPr="0091024C" w:rsidRDefault="0091024C" w:rsidP="0095504B">
      <w:pPr>
        <w:spacing w:after="0"/>
        <w:rPr>
          <w:sz w:val="24"/>
          <w:szCs w:val="24"/>
        </w:rPr>
      </w:pPr>
    </w:p>
    <w:p w14:paraId="326E81CF" w14:textId="534EE116" w:rsidR="0095504B" w:rsidRPr="0091024C" w:rsidRDefault="0095504B" w:rsidP="0095504B">
      <w:pPr>
        <w:spacing w:after="0"/>
        <w:rPr>
          <w:sz w:val="24"/>
          <w:szCs w:val="24"/>
        </w:rPr>
      </w:pPr>
      <w:r w:rsidRPr="0091024C">
        <w:rPr>
          <w:sz w:val="24"/>
          <w:szCs w:val="24"/>
        </w:rPr>
        <w:t>To help promote areas of science</w:t>
      </w:r>
      <w:r w:rsidR="00DC3FB4">
        <w:rPr>
          <w:sz w:val="24"/>
          <w:szCs w:val="24"/>
        </w:rPr>
        <w:t>,</w:t>
      </w:r>
      <w:r w:rsidRPr="0091024C">
        <w:rPr>
          <w:sz w:val="24"/>
          <w:szCs w:val="24"/>
        </w:rPr>
        <w:t xml:space="preserve"> </w:t>
      </w:r>
      <w:proofErr w:type="gramStart"/>
      <w:r w:rsidR="00DC3FB4" w:rsidRPr="0091024C">
        <w:rPr>
          <w:sz w:val="24"/>
          <w:szCs w:val="24"/>
        </w:rPr>
        <w:t>technology</w:t>
      </w:r>
      <w:proofErr w:type="gramEnd"/>
      <w:r w:rsidR="00DC3FB4" w:rsidRPr="0091024C">
        <w:rPr>
          <w:sz w:val="24"/>
          <w:szCs w:val="24"/>
        </w:rPr>
        <w:t xml:space="preserve"> </w:t>
      </w:r>
      <w:r w:rsidR="00DC3FB4">
        <w:rPr>
          <w:sz w:val="24"/>
          <w:szCs w:val="24"/>
        </w:rPr>
        <w:t xml:space="preserve">and engineering </w:t>
      </w:r>
      <w:r w:rsidRPr="0091024C">
        <w:rPr>
          <w:sz w:val="24"/>
          <w:szCs w:val="24"/>
        </w:rPr>
        <w:t xml:space="preserve">of mutual interest, </w:t>
      </w:r>
      <w:proofErr w:type="spellStart"/>
      <w:r w:rsidRPr="0091024C">
        <w:rPr>
          <w:sz w:val="24"/>
          <w:szCs w:val="24"/>
        </w:rPr>
        <w:t>NEIMME</w:t>
      </w:r>
      <w:proofErr w:type="spellEnd"/>
      <w:r w:rsidR="0091024C" w:rsidRPr="0091024C">
        <w:rPr>
          <w:sz w:val="24"/>
          <w:szCs w:val="24"/>
        </w:rPr>
        <w:t xml:space="preserve"> and [Organisation] </w:t>
      </w:r>
      <w:r w:rsidRPr="0091024C">
        <w:rPr>
          <w:sz w:val="24"/>
          <w:szCs w:val="24"/>
        </w:rPr>
        <w:t xml:space="preserve">have established a Memorandum of Understanding (MoU) </w:t>
      </w:r>
      <w:r w:rsidR="00D15D7A">
        <w:rPr>
          <w:sz w:val="24"/>
          <w:szCs w:val="24"/>
        </w:rPr>
        <w:t xml:space="preserve">on the </w:t>
      </w:r>
      <w:r w:rsidR="0091024C" w:rsidRPr="0091024C">
        <w:rPr>
          <w:sz w:val="24"/>
          <w:szCs w:val="24"/>
        </w:rPr>
        <w:t>[</w:t>
      </w:r>
      <w:r w:rsidR="0091024C" w:rsidRPr="00D15D7A">
        <w:rPr>
          <w:color w:val="FF0000"/>
          <w:sz w:val="24"/>
          <w:szCs w:val="24"/>
        </w:rPr>
        <w:t>DATE</w:t>
      </w:r>
      <w:r w:rsidR="0091024C" w:rsidRPr="0091024C">
        <w:rPr>
          <w:sz w:val="24"/>
          <w:szCs w:val="24"/>
        </w:rPr>
        <w:t>]</w:t>
      </w:r>
      <w:r w:rsidRPr="0091024C">
        <w:rPr>
          <w:sz w:val="24"/>
          <w:szCs w:val="24"/>
        </w:rPr>
        <w:t>.</w:t>
      </w:r>
    </w:p>
    <w:p w14:paraId="7D52C8A2" w14:textId="77777777" w:rsidR="0091024C" w:rsidRPr="0091024C" w:rsidRDefault="0091024C" w:rsidP="0095504B">
      <w:pPr>
        <w:spacing w:after="0"/>
        <w:rPr>
          <w:sz w:val="24"/>
          <w:szCs w:val="24"/>
        </w:rPr>
      </w:pPr>
    </w:p>
    <w:p w14:paraId="06E3FD71" w14:textId="39DD9836" w:rsidR="0095504B" w:rsidRPr="0091024C" w:rsidRDefault="0095504B" w:rsidP="0095504B">
      <w:pPr>
        <w:spacing w:after="0"/>
        <w:rPr>
          <w:sz w:val="24"/>
          <w:szCs w:val="24"/>
        </w:rPr>
      </w:pPr>
      <w:r w:rsidRPr="0091024C">
        <w:rPr>
          <w:sz w:val="24"/>
          <w:szCs w:val="24"/>
        </w:rPr>
        <w:t>It is anticipated that this agreement will provide a positive and supporting</w:t>
      </w:r>
      <w:r w:rsidR="0091024C" w:rsidRPr="0091024C">
        <w:rPr>
          <w:sz w:val="24"/>
          <w:szCs w:val="24"/>
        </w:rPr>
        <w:t xml:space="preserve"> </w:t>
      </w:r>
      <w:r w:rsidRPr="0091024C">
        <w:rPr>
          <w:sz w:val="24"/>
          <w:szCs w:val="24"/>
        </w:rPr>
        <w:t xml:space="preserve">additional incentive to help with both </w:t>
      </w:r>
      <w:r w:rsidR="00270615">
        <w:rPr>
          <w:sz w:val="24"/>
          <w:szCs w:val="24"/>
        </w:rPr>
        <w:t>organisations</w:t>
      </w:r>
      <w:r w:rsidRPr="0091024C">
        <w:rPr>
          <w:sz w:val="24"/>
          <w:szCs w:val="24"/>
        </w:rPr>
        <w:t xml:space="preserve"> membership recruitment and</w:t>
      </w:r>
      <w:r w:rsidR="0091024C" w:rsidRPr="0091024C">
        <w:rPr>
          <w:sz w:val="24"/>
          <w:szCs w:val="24"/>
        </w:rPr>
        <w:t xml:space="preserve"> </w:t>
      </w:r>
      <w:r w:rsidRPr="0091024C">
        <w:rPr>
          <w:sz w:val="24"/>
          <w:szCs w:val="24"/>
        </w:rPr>
        <w:t>provide the foundation for future collaboration and communication between</w:t>
      </w:r>
      <w:r w:rsidR="0091024C" w:rsidRPr="0091024C">
        <w:rPr>
          <w:sz w:val="24"/>
          <w:szCs w:val="24"/>
        </w:rPr>
        <w:t xml:space="preserve"> </w:t>
      </w:r>
      <w:r w:rsidRPr="0091024C">
        <w:rPr>
          <w:sz w:val="24"/>
          <w:szCs w:val="24"/>
        </w:rPr>
        <w:t xml:space="preserve">the </w:t>
      </w:r>
      <w:proofErr w:type="spellStart"/>
      <w:r w:rsidRPr="0091024C">
        <w:rPr>
          <w:sz w:val="24"/>
          <w:szCs w:val="24"/>
        </w:rPr>
        <w:t>NEIMME</w:t>
      </w:r>
      <w:proofErr w:type="spellEnd"/>
      <w:r w:rsidR="00D416FB">
        <w:rPr>
          <w:sz w:val="24"/>
          <w:szCs w:val="24"/>
        </w:rPr>
        <w:t xml:space="preserve"> and [</w:t>
      </w:r>
      <w:r w:rsidR="00D416FB" w:rsidRPr="00D15D7A">
        <w:rPr>
          <w:color w:val="FF0000"/>
          <w:sz w:val="24"/>
          <w:szCs w:val="24"/>
        </w:rPr>
        <w:t>Organisation</w:t>
      </w:r>
      <w:r w:rsidR="00D416FB">
        <w:rPr>
          <w:sz w:val="24"/>
          <w:szCs w:val="24"/>
        </w:rPr>
        <w:t>]</w:t>
      </w:r>
      <w:r w:rsidRPr="0091024C">
        <w:rPr>
          <w:sz w:val="24"/>
          <w:szCs w:val="24"/>
        </w:rPr>
        <w:t>.</w:t>
      </w:r>
    </w:p>
    <w:p w14:paraId="397A9879" w14:textId="77777777" w:rsidR="0091024C" w:rsidRPr="0091024C" w:rsidRDefault="0091024C" w:rsidP="0095504B">
      <w:pPr>
        <w:spacing w:after="0"/>
        <w:rPr>
          <w:sz w:val="24"/>
          <w:szCs w:val="24"/>
        </w:rPr>
      </w:pPr>
    </w:p>
    <w:p w14:paraId="737E7AE4" w14:textId="6BE7DF9E" w:rsidR="0095504B" w:rsidRPr="0091024C" w:rsidRDefault="0095504B" w:rsidP="0095504B">
      <w:pPr>
        <w:spacing w:after="0"/>
        <w:rPr>
          <w:sz w:val="24"/>
          <w:szCs w:val="24"/>
        </w:rPr>
      </w:pPr>
      <w:r w:rsidRPr="0091024C">
        <w:rPr>
          <w:sz w:val="24"/>
          <w:szCs w:val="24"/>
        </w:rPr>
        <w:t>The organisations have agreed to</w:t>
      </w:r>
    </w:p>
    <w:p w14:paraId="563D686D" w14:textId="22188767" w:rsidR="0095504B" w:rsidRPr="0091024C" w:rsidRDefault="0095504B" w:rsidP="00270615">
      <w:pPr>
        <w:pStyle w:val="ListParagraph"/>
        <w:numPr>
          <w:ilvl w:val="1"/>
          <w:numId w:val="2"/>
        </w:numPr>
        <w:spacing w:after="0"/>
        <w:ind w:left="567"/>
        <w:rPr>
          <w:sz w:val="24"/>
          <w:szCs w:val="24"/>
        </w:rPr>
      </w:pPr>
      <w:r w:rsidRPr="0091024C">
        <w:rPr>
          <w:sz w:val="24"/>
          <w:szCs w:val="24"/>
        </w:rPr>
        <w:t>Promote each other's activities and events</w:t>
      </w:r>
      <w:r w:rsidR="0091024C" w:rsidRPr="0091024C">
        <w:rPr>
          <w:sz w:val="24"/>
          <w:szCs w:val="24"/>
        </w:rPr>
        <w:t>,</w:t>
      </w:r>
    </w:p>
    <w:p w14:paraId="09736577" w14:textId="49DF99B5" w:rsidR="0091024C" w:rsidRPr="0091024C" w:rsidRDefault="0095504B" w:rsidP="00270615">
      <w:pPr>
        <w:pStyle w:val="ListParagraph"/>
        <w:numPr>
          <w:ilvl w:val="1"/>
          <w:numId w:val="2"/>
        </w:numPr>
        <w:spacing w:after="0"/>
        <w:ind w:left="567"/>
        <w:rPr>
          <w:sz w:val="24"/>
          <w:szCs w:val="24"/>
        </w:rPr>
      </w:pPr>
      <w:r w:rsidRPr="0091024C">
        <w:rPr>
          <w:sz w:val="24"/>
          <w:szCs w:val="24"/>
        </w:rPr>
        <w:t xml:space="preserve">Display links to each other's websites </w:t>
      </w:r>
      <w:r w:rsidR="0091024C" w:rsidRPr="0091024C">
        <w:rPr>
          <w:sz w:val="24"/>
          <w:szCs w:val="24"/>
        </w:rPr>
        <w:t>(</w:t>
      </w:r>
      <w:r w:rsidRPr="0091024C">
        <w:rPr>
          <w:sz w:val="24"/>
          <w:szCs w:val="24"/>
        </w:rPr>
        <w:t>and other social media</w:t>
      </w:r>
      <w:r w:rsidR="0091024C" w:rsidRPr="0091024C">
        <w:rPr>
          <w:sz w:val="24"/>
          <w:szCs w:val="24"/>
        </w:rPr>
        <w:t xml:space="preserve"> as appropriate)</w:t>
      </w:r>
    </w:p>
    <w:p w14:paraId="79DA9FA2" w14:textId="202C4190" w:rsidR="0095504B" w:rsidRPr="0091024C" w:rsidRDefault="0095504B" w:rsidP="00270615">
      <w:pPr>
        <w:pStyle w:val="ListParagraph"/>
        <w:numPr>
          <w:ilvl w:val="1"/>
          <w:numId w:val="2"/>
        </w:numPr>
        <w:spacing w:after="0"/>
        <w:ind w:left="567"/>
        <w:rPr>
          <w:sz w:val="24"/>
          <w:szCs w:val="24"/>
        </w:rPr>
      </w:pPr>
      <w:r w:rsidRPr="0091024C">
        <w:rPr>
          <w:sz w:val="24"/>
          <w:szCs w:val="24"/>
        </w:rPr>
        <w:t>Where appropriate, share online events (at a zero-cost or member-rate</w:t>
      </w:r>
      <w:r w:rsidR="0091024C" w:rsidRPr="0091024C">
        <w:rPr>
          <w:sz w:val="24"/>
          <w:szCs w:val="24"/>
        </w:rPr>
        <w:t xml:space="preserve"> </w:t>
      </w:r>
      <w:r w:rsidRPr="0091024C">
        <w:rPr>
          <w:sz w:val="24"/>
          <w:szCs w:val="24"/>
        </w:rPr>
        <w:t>basis)</w:t>
      </w:r>
    </w:p>
    <w:p w14:paraId="69F1B8C4" w14:textId="2B08446C" w:rsidR="0095504B" w:rsidRPr="0091024C" w:rsidRDefault="0095504B" w:rsidP="00072901">
      <w:pPr>
        <w:spacing w:after="0"/>
        <w:rPr>
          <w:sz w:val="24"/>
          <w:szCs w:val="24"/>
        </w:rPr>
      </w:pPr>
    </w:p>
    <w:p w14:paraId="7735B3EE" w14:textId="77777777" w:rsidR="0091024C" w:rsidRPr="0091024C" w:rsidRDefault="0091024C" w:rsidP="00072901">
      <w:pPr>
        <w:spacing w:after="0"/>
        <w:rPr>
          <w:sz w:val="24"/>
          <w:szCs w:val="24"/>
        </w:rPr>
      </w:pPr>
    </w:p>
    <w:tbl>
      <w:tblPr>
        <w:tblStyle w:val="TableGrid"/>
        <w:tblW w:w="9016" w:type="dxa"/>
        <w:tblLook w:val="04A0" w:firstRow="1" w:lastRow="0" w:firstColumn="1" w:lastColumn="0" w:noHBand="0" w:noVBand="1"/>
      </w:tblPr>
      <w:tblGrid>
        <w:gridCol w:w="4508"/>
        <w:gridCol w:w="4508"/>
      </w:tblGrid>
      <w:tr w:rsidR="0091024C" w:rsidRPr="0091024C" w14:paraId="7BC05683" w14:textId="77777777" w:rsidTr="0091024C">
        <w:tc>
          <w:tcPr>
            <w:tcW w:w="4508" w:type="dxa"/>
          </w:tcPr>
          <w:p w14:paraId="2919C127" w14:textId="0CEEC694" w:rsidR="0091024C" w:rsidRPr="0091024C" w:rsidRDefault="0091024C" w:rsidP="0091024C">
            <w:pPr>
              <w:jc w:val="center"/>
              <w:rPr>
                <w:sz w:val="24"/>
                <w:szCs w:val="24"/>
              </w:rPr>
            </w:pPr>
            <w:r w:rsidRPr="0091024C">
              <w:rPr>
                <w:sz w:val="24"/>
                <w:szCs w:val="24"/>
              </w:rPr>
              <w:t>[</w:t>
            </w:r>
            <w:r w:rsidRPr="00A117B1">
              <w:rPr>
                <w:color w:val="FF0000"/>
                <w:sz w:val="24"/>
                <w:szCs w:val="24"/>
              </w:rPr>
              <w:t>SIGNATURE</w:t>
            </w:r>
            <w:r w:rsidRPr="0091024C">
              <w:rPr>
                <w:sz w:val="24"/>
                <w:szCs w:val="24"/>
              </w:rPr>
              <w:t>]</w:t>
            </w:r>
          </w:p>
        </w:tc>
        <w:tc>
          <w:tcPr>
            <w:tcW w:w="4508" w:type="dxa"/>
          </w:tcPr>
          <w:p w14:paraId="35F5C0B3" w14:textId="47BB367F" w:rsidR="0091024C" w:rsidRPr="0091024C" w:rsidRDefault="0091024C" w:rsidP="0091024C">
            <w:pPr>
              <w:jc w:val="center"/>
              <w:rPr>
                <w:sz w:val="24"/>
                <w:szCs w:val="24"/>
              </w:rPr>
            </w:pPr>
            <w:r w:rsidRPr="0091024C">
              <w:rPr>
                <w:sz w:val="24"/>
                <w:szCs w:val="24"/>
              </w:rPr>
              <w:t>[</w:t>
            </w:r>
            <w:r w:rsidRPr="00A117B1">
              <w:rPr>
                <w:color w:val="FF0000"/>
                <w:sz w:val="24"/>
                <w:szCs w:val="24"/>
              </w:rPr>
              <w:t>SIGNATURE</w:t>
            </w:r>
            <w:r w:rsidRPr="0091024C">
              <w:rPr>
                <w:sz w:val="24"/>
                <w:szCs w:val="24"/>
              </w:rPr>
              <w:t>]</w:t>
            </w:r>
          </w:p>
        </w:tc>
      </w:tr>
      <w:tr w:rsidR="0091024C" w:rsidRPr="0091024C" w14:paraId="67BE6A2B" w14:textId="77777777" w:rsidTr="0091024C">
        <w:tc>
          <w:tcPr>
            <w:tcW w:w="4508" w:type="dxa"/>
          </w:tcPr>
          <w:p w14:paraId="1CC3D8D4" w14:textId="0C961DE1" w:rsidR="0091024C" w:rsidRPr="0091024C" w:rsidRDefault="0091024C" w:rsidP="0091024C">
            <w:pPr>
              <w:jc w:val="center"/>
              <w:rPr>
                <w:sz w:val="24"/>
                <w:szCs w:val="24"/>
              </w:rPr>
            </w:pPr>
            <w:r w:rsidRPr="0091024C">
              <w:rPr>
                <w:sz w:val="24"/>
                <w:szCs w:val="24"/>
              </w:rPr>
              <w:t xml:space="preserve">President of </w:t>
            </w:r>
            <w:proofErr w:type="spellStart"/>
            <w:r w:rsidRPr="0091024C">
              <w:rPr>
                <w:sz w:val="24"/>
                <w:szCs w:val="24"/>
              </w:rPr>
              <w:t>NEIMME</w:t>
            </w:r>
            <w:proofErr w:type="spellEnd"/>
          </w:p>
        </w:tc>
        <w:tc>
          <w:tcPr>
            <w:tcW w:w="4508" w:type="dxa"/>
          </w:tcPr>
          <w:p w14:paraId="66524F28" w14:textId="77BA371E" w:rsidR="0091024C" w:rsidRPr="0091024C" w:rsidRDefault="0091024C" w:rsidP="0091024C">
            <w:pPr>
              <w:jc w:val="center"/>
              <w:rPr>
                <w:sz w:val="24"/>
                <w:szCs w:val="24"/>
              </w:rPr>
            </w:pPr>
            <w:r w:rsidRPr="0091024C">
              <w:rPr>
                <w:sz w:val="24"/>
                <w:szCs w:val="24"/>
              </w:rPr>
              <w:t>President of [</w:t>
            </w:r>
            <w:r w:rsidRPr="00A117B1">
              <w:rPr>
                <w:color w:val="FF0000"/>
                <w:sz w:val="24"/>
                <w:szCs w:val="24"/>
              </w:rPr>
              <w:t>Organisation</w:t>
            </w:r>
            <w:r w:rsidRPr="0091024C">
              <w:rPr>
                <w:sz w:val="24"/>
                <w:szCs w:val="24"/>
              </w:rPr>
              <w:t>]</w:t>
            </w:r>
          </w:p>
        </w:tc>
      </w:tr>
      <w:tr w:rsidR="0091024C" w:rsidRPr="0091024C" w14:paraId="3E209861" w14:textId="77777777" w:rsidTr="0091024C">
        <w:tc>
          <w:tcPr>
            <w:tcW w:w="4508" w:type="dxa"/>
          </w:tcPr>
          <w:p w14:paraId="0EFBE37E" w14:textId="0F8B3B79" w:rsidR="0091024C" w:rsidRPr="0091024C" w:rsidRDefault="0091024C" w:rsidP="0091024C">
            <w:pPr>
              <w:jc w:val="center"/>
              <w:rPr>
                <w:sz w:val="24"/>
                <w:szCs w:val="24"/>
              </w:rPr>
            </w:pPr>
            <w:r w:rsidRPr="0091024C">
              <w:rPr>
                <w:sz w:val="24"/>
                <w:szCs w:val="24"/>
              </w:rPr>
              <w:t>[</w:t>
            </w:r>
            <w:r w:rsidRPr="00A117B1">
              <w:rPr>
                <w:color w:val="FF0000"/>
                <w:sz w:val="24"/>
                <w:szCs w:val="24"/>
              </w:rPr>
              <w:t>DATE</w:t>
            </w:r>
            <w:r w:rsidRPr="0091024C">
              <w:rPr>
                <w:sz w:val="24"/>
                <w:szCs w:val="24"/>
              </w:rPr>
              <w:t>]</w:t>
            </w:r>
          </w:p>
        </w:tc>
        <w:tc>
          <w:tcPr>
            <w:tcW w:w="4508" w:type="dxa"/>
          </w:tcPr>
          <w:p w14:paraId="4E62EEB8" w14:textId="01F1C38D" w:rsidR="0091024C" w:rsidRPr="0091024C" w:rsidRDefault="0091024C" w:rsidP="0091024C">
            <w:pPr>
              <w:jc w:val="center"/>
              <w:rPr>
                <w:sz w:val="24"/>
                <w:szCs w:val="24"/>
              </w:rPr>
            </w:pPr>
            <w:r w:rsidRPr="0091024C">
              <w:rPr>
                <w:sz w:val="24"/>
                <w:szCs w:val="24"/>
              </w:rPr>
              <w:t>[</w:t>
            </w:r>
            <w:r w:rsidRPr="00A117B1">
              <w:rPr>
                <w:color w:val="FF0000"/>
                <w:sz w:val="24"/>
                <w:szCs w:val="24"/>
              </w:rPr>
              <w:t>DATE</w:t>
            </w:r>
            <w:r w:rsidRPr="0091024C">
              <w:rPr>
                <w:sz w:val="24"/>
                <w:szCs w:val="24"/>
              </w:rPr>
              <w:t>]</w:t>
            </w:r>
          </w:p>
        </w:tc>
      </w:tr>
    </w:tbl>
    <w:p w14:paraId="65C84AE6" w14:textId="4FEE39C3" w:rsidR="0095504B" w:rsidRPr="0091024C" w:rsidRDefault="0095504B" w:rsidP="00072901">
      <w:pPr>
        <w:spacing w:after="0"/>
        <w:rPr>
          <w:sz w:val="24"/>
          <w:szCs w:val="24"/>
        </w:rPr>
      </w:pPr>
    </w:p>
    <w:sectPr w:rsidR="0095504B" w:rsidRPr="0091024C" w:rsidSect="00E4303D">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52E6" w14:textId="77777777" w:rsidR="00260E7A" w:rsidRDefault="00260E7A" w:rsidP="006C60A4">
      <w:pPr>
        <w:spacing w:after="0" w:line="240" w:lineRule="auto"/>
      </w:pPr>
      <w:r>
        <w:separator/>
      </w:r>
    </w:p>
  </w:endnote>
  <w:endnote w:type="continuationSeparator" w:id="0">
    <w:p w14:paraId="214E3126" w14:textId="77777777" w:rsidR="00260E7A" w:rsidRDefault="00260E7A" w:rsidP="006C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B5EC" w14:textId="77777777" w:rsidR="00260E7A" w:rsidRDefault="00260E7A" w:rsidP="006C60A4">
      <w:pPr>
        <w:spacing w:after="0" w:line="240" w:lineRule="auto"/>
      </w:pPr>
      <w:r>
        <w:separator/>
      </w:r>
    </w:p>
  </w:footnote>
  <w:footnote w:type="continuationSeparator" w:id="0">
    <w:p w14:paraId="6B24AB87" w14:textId="77777777" w:rsidR="00260E7A" w:rsidRDefault="00260E7A" w:rsidP="006C6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2482D"/>
    <w:multiLevelType w:val="hybridMultilevel"/>
    <w:tmpl w:val="EC2AB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450DFF"/>
    <w:multiLevelType w:val="hybridMultilevel"/>
    <w:tmpl w:val="1A7418A2"/>
    <w:lvl w:ilvl="0" w:tplc="0B02D1BE">
      <w:start w:val="1"/>
      <w:numFmt w:val="upperRoman"/>
      <w:lvlText w:val="%1."/>
      <w:lvlJc w:val="left"/>
      <w:pPr>
        <w:ind w:left="720" w:hanging="360"/>
      </w:pPr>
      <w:rPr>
        <w:rFonts w:hint="default"/>
      </w:rPr>
    </w:lvl>
    <w:lvl w:ilvl="1" w:tplc="6FEADD7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437E3A"/>
    <w:multiLevelType w:val="hybridMultilevel"/>
    <w:tmpl w:val="9C74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01"/>
    <w:rsid w:val="00072901"/>
    <w:rsid w:val="00120E65"/>
    <w:rsid w:val="00123E76"/>
    <w:rsid w:val="00260E7A"/>
    <w:rsid w:val="00270615"/>
    <w:rsid w:val="002B69C1"/>
    <w:rsid w:val="002E267B"/>
    <w:rsid w:val="00493F05"/>
    <w:rsid w:val="005952E6"/>
    <w:rsid w:val="005B4C8F"/>
    <w:rsid w:val="00667CB3"/>
    <w:rsid w:val="006C60A4"/>
    <w:rsid w:val="007B0091"/>
    <w:rsid w:val="00817D3B"/>
    <w:rsid w:val="008D61F6"/>
    <w:rsid w:val="0091024C"/>
    <w:rsid w:val="0095504B"/>
    <w:rsid w:val="009A1AFE"/>
    <w:rsid w:val="009B0323"/>
    <w:rsid w:val="00A117B1"/>
    <w:rsid w:val="00A62A3A"/>
    <w:rsid w:val="00B613C4"/>
    <w:rsid w:val="00B66EE8"/>
    <w:rsid w:val="00BB312E"/>
    <w:rsid w:val="00BD3876"/>
    <w:rsid w:val="00C26D99"/>
    <w:rsid w:val="00C812F6"/>
    <w:rsid w:val="00CA1817"/>
    <w:rsid w:val="00D15D7A"/>
    <w:rsid w:val="00D416FB"/>
    <w:rsid w:val="00DC3FB4"/>
    <w:rsid w:val="00DE0944"/>
    <w:rsid w:val="00E43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2244"/>
  <w15:chartTrackingRefBased/>
  <w15:docId w15:val="{1D00F1E9-05FB-414F-BBD9-2705598A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901"/>
    <w:pPr>
      <w:ind w:left="720"/>
      <w:contextualSpacing/>
    </w:pPr>
  </w:style>
  <w:style w:type="paragraph" w:styleId="BalloonText">
    <w:name w:val="Balloon Text"/>
    <w:basedOn w:val="Normal"/>
    <w:link w:val="BalloonTextChar"/>
    <w:uiPriority w:val="99"/>
    <w:semiHidden/>
    <w:unhideWhenUsed/>
    <w:rsid w:val="00072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901"/>
    <w:rPr>
      <w:rFonts w:ascii="Segoe UI" w:hAnsi="Segoe UI" w:cs="Segoe UI"/>
      <w:sz w:val="18"/>
      <w:szCs w:val="18"/>
    </w:rPr>
  </w:style>
  <w:style w:type="paragraph" w:styleId="Header">
    <w:name w:val="header"/>
    <w:basedOn w:val="Normal"/>
    <w:link w:val="HeaderChar"/>
    <w:uiPriority w:val="99"/>
    <w:unhideWhenUsed/>
    <w:rsid w:val="006C6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0A4"/>
  </w:style>
  <w:style w:type="paragraph" w:styleId="Footer">
    <w:name w:val="footer"/>
    <w:basedOn w:val="Normal"/>
    <w:link w:val="FooterChar"/>
    <w:uiPriority w:val="99"/>
    <w:unhideWhenUsed/>
    <w:rsid w:val="006C6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Dobrzanski</dc:creator>
  <cp:keywords/>
  <dc:description/>
  <cp:lastModifiedBy>Andrew Jan Dobrzanski</cp:lastModifiedBy>
  <cp:revision>10</cp:revision>
  <dcterms:created xsi:type="dcterms:W3CDTF">2021-10-14T14:06:00Z</dcterms:created>
  <dcterms:modified xsi:type="dcterms:W3CDTF">2021-11-13T22:18:00Z</dcterms:modified>
</cp:coreProperties>
</file>